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A6631B"/>
          <w:sz w:val="19"/>
        </w:rPr>
        <w:t>MODIFIABLE REQUEST FOR PROPOSALS (RFP) TEMPLATE  |  VNA-RFP-008</w:t>
      </w:r>
    </w:p>
    <w:p>
      <w:pPr>
        <w:pStyle w:val="Heading1"/>
      </w:pPr>
      <w:r>
        <w:rPr>
          <w:color w:val="261F14"/>
        </w:rPr>
        <w:t>Request for Proposals (RFP): Oracle 7.3.4, 8i &amp; 9i Solaris SPARC to Oracle 23ai Migration (ORA-28040 / SQL*Net V2)</w:t>
      </w:r>
    </w:p>
    <w:p>
      <w:r>
        <w:rPr>
          <w:sz w:val="20"/>
        </w:rPr>
        <w:t>Instructions for RFP Author: This editable Microsoft Word (.docx) document is structured so your IT, Architecture, and Procurement teams can issue a competitive, apples-to-apples Request for Proposals. Replace all bracketed placeholders ([...]) below with your organization's dates, contacts, and inventory counts.</w:t>
      </w:r>
    </w:p>
    <w:p>
      <w:pPr>
        <w:pStyle w:val="Heading2"/>
      </w:pPr>
      <w:r>
        <w:rPr>
          <w:color w:val="A6631B"/>
        </w:rPr>
        <w:t>Section 1: Issuing Organization Profile &amp; Procurement Schedule (Editable)</w:t>
      </w:r>
    </w:p>
    <w:tbl>
      <w:tblPr>
        <w:tblStyle w:val="TableGrid"/>
        <w:tblW w:type="auto" w:w="0"/>
        <w:tblLook w:firstColumn="1" w:firstRow="1" w:lastColumn="0" w:lastRow="0" w:noHBand="0" w:noVBand="1" w:val="04A0"/>
      </w:tblPr>
      <w:tblGrid>
        <w:gridCol w:w="5040"/>
        <w:gridCol w:w="5040"/>
      </w:tblGrid>
      <w:tr>
        <w:tc>
          <w:tcPr>
            <w:tcW w:type="dxa" w:w="5040"/>
            <w:shd w:val="clear" w:color="auto" w:fill="2B2214"/>
          </w:tcPr>
          <w:p>
            <w:r>
              <w:rPr>
                <w:b/>
                <w:color w:val="FFFFFF"/>
                <w:sz w:val="19"/>
              </w:rPr>
              <w:t>Procurement Milestone / Field</w:t>
            </w:r>
          </w:p>
        </w:tc>
        <w:tc>
          <w:tcPr>
            <w:tcW w:type="dxa" w:w="5040"/>
            <w:shd w:val="clear" w:color="auto" w:fill="2B2214"/>
          </w:tcPr>
          <w:p>
            <w:r>
              <w:rPr>
                <w:b/>
                <w:color w:val="FFFFFF"/>
                <w:sz w:val="19"/>
              </w:rPr>
              <w:t>Target Date / Entry (Editable)</w:t>
            </w:r>
          </w:p>
        </w:tc>
      </w:tr>
      <w:tr>
        <w:tc>
          <w:tcPr>
            <w:tcW w:type="dxa" w:w="5040"/>
          </w:tcPr>
          <w:p>
            <w:r>
              <w:rPr>
                <w:b/>
              </w:rPr>
              <w:t>Issuing Organization Name</w:t>
            </w:r>
          </w:p>
        </w:tc>
        <w:tc>
          <w:tcPr>
            <w:tcW w:type="dxa" w:w="5040"/>
          </w:tcPr>
          <w:p>
            <w:r>
              <w:t>[Insert Legal Entity / Company Name]</w:t>
            </w:r>
          </w:p>
        </w:tc>
      </w:tr>
      <w:tr>
        <w:tc>
          <w:tcPr>
            <w:tcW w:type="dxa" w:w="5040"/>
          </w:tcPr>
          <w:p>
            <w:r>
              <w:rPr>
                <w:b/>
              </w:rPr>
              <w:t>Executive Sponsor &amp; Procurement Contact</w:t>
            </w:r>
          </w:p>
        </w:tc>
        <w:tc>
          <w:tcPr>
            <w:tcW w:type="dxa" w:w="5040"/>
          </w:tcPr>
          <w:p>
            <w:r>
              <w:t>[Insert Name, Title, Work Email &amp; Phone]</w:t>
            </w:r>
          </w:p>
        </w:tc>
      </w:tr>
      <w:tr>
        <w:tc>
          <w:tcPr>
            <w:tcW w:type="dxa" w:w="5040"/>
          </w:tcPr>
          <w:p>
            <w:r>
              <w:rPr>
                <w:b/>
              </w:rPr>
              <w:t>RFP Reference Code</w:t>
            </w:r>
          </w:p>
        </w:tc>
        <w:tc>
          <w:tcPr>
            <w:tcW w:type="dxa" w:w="5040"/>
          </w:tcPr>
          <w:p>
            <w:r>
              <w:t>VNA-RFP-008 (Companion to Solution Brief VNA-SB-008)</w:t>
            </w:r>
          </w:p>
        </w:tc>
      </w:tr>
      <w:tr>
        <w:tc>
          <w:tcPr>
            <w:tcW w:type="dxa" w:w="5040"/>
          </w:tcPr>
          <w:p>
            <w:r>
              <w:rPr>
                <w:b/>
              </w:rPr>
              <w:t>RFP Issue Date</w:t>
            </w:r>
          </w:p>
        </w:tc>
        <w:tc>
          <w:tcPr>
            <w:tcW w:type="dxa" w:w="5040"/>
          </w:tcPr>
          <w:p>
            <w:r>
              <w:t>[2026-10-27]</w:t>
            </w:r>
          </w:p>
        </w:tc>
      </w:tr>
      <w:tr>
        <w:tc>
          <w:tcPr>
            <w:tcW w:type="dxa" w:w="5040"/>
          </w:tcPr>
          <w:p>
            <w:r>
              <w:rPr>
                <w:b/>
              </w:rPr>
              <w:t>Vendor Written Questions Due</w:t>
            </w:r>
          </w:p>
        </w:tc>
        <w:tc>
          <w:tcPr>
            <w:tcW w:type="dxa" w:w="5040"/>
          </w:tcPr>
          <w:p>
            <w:r>
              <w:t>[Insert Date - Week 2]</w:t>
            </w:r>
          </w:p>
        </w:tc>
      </w:tr>
      <w:tr>
        <w:tc>
          <w:tcPr>
            <w:tcW w:type="dxa" w:w="5040"/>
          </w:tcPr>
          <w:p>
            <w:r>
              <w:rPr>
                <w:b/>
              </w:rPr>
              <w:t>Organization Responses to Vendor Q&amp;A</w:t>
            </w:r>
          </w:p>
        </w:tc>
        <w:tc>
          <w:tcPr>
            <w:tcW w:type="dxa" w:w="5040"/>
          </w:tcPr>
          <w:p>
            <w:r>
              <w:t>[Insert Date - Week 3]</w:t>
            </w:r>
          </w:p>
        </w:tc>
      </w:tr>
      <w:tr>
        <w:tc>
          <w:tcPr>
            <w:tcW w:type="dxa" w:w="5040"/>
          </w:tcPr>
          <w:p>
            <w:r>
              <w:rPr>
                <w:b/>
              </w:rPr>
              <w:t>Final Vendor Proposals &amp; Fixed-Fee Pricing Due</w:t>
            </w:r>
          </w:p>
        </w:tc>
        <w:tc>
          <w:tcPr>
            <w:tcW w:type="dxa" w:w="5040"/>
          </w:tcPr>
          <w:p>
            <w:r>
              <w:t>[Insert Date - Week 4]</w:t>
            </w:r>
          </w:p>
        </w:tc>
      </w:tr>
      <w:tr>
        <w:tc>
          <w:tcPr>
            <w:tcW w:type="dxa" w:w="5040"/>
          </w:tcPr>
          <w:p>
            <w:r>
              <w:rPr>
                <w:b/>
              </w:rPr>
              <w:t>Technical Architecture Demos / Oral Presentations</w:t>
            </w:r>
          </w:p>
        </w:tc>
        <w:tc>
          <w:tcPr>
            <w:tcW w:type="dxa" w:w="5040"/>
          </w:tcPr>
          <w:p>
            <w:r>
              <w:t>[Insert Date - Week 5]</w:t>
            </w:r>
          </w:p>
        </w:tc>
      </w:tr>
      <w:tr>
        <w:tc>
          <w:tcPr>
            <w:tcW w:type="dxa" w:w="5040"/>
          </w:tcPr>
          <w:p>
            <w:r>
              <w:rPr>
                <w:b/>
              </w:rPr>
              <w:t>Target Contract Award &amp; Phase 0 Kickoff</w:t>
            </w:r>
          </w:p>
        </w:tc>
        <w:tc>
          <w:tcPr>
            <w:tcW w:type="dxa" w:w="5040"/>
          </w:tcPr>
          <w:p>
            <w:r>
              <w:t>[Insert Date - Week 6]</w:t>
            </w:r>
          </w:p>
        </w:tc>
      </w:tr>
    </w:tbl>
    <w:p>
      <w:r>
        <w:t>[INSERT COMPANY NAME] ('Organization') is soliciting competitive proposals from qualified enterprise architecture and engineering partners to modernize and transition our current Oracle7 (7.1.3 / 7.3.4) &amp; Oracle8i/9i on Solaris SPARC / HP-UX (SQL*Net V2 / TNS) environment to Oracle Database 23ai / 26ai on Linux / OCI via Wire-Level Protocol Gateway.</w:t>
      </w:r>
    </w:p>
    <w:p>
      <w:pPr>
        <w:pStyle w:val="ListBullet"/>
      </w:pPr>
      <w:r>
        <w:t>Defense, manufacturing, telecom, and utility operators still run Oracle 7.1.3 or 7.3.4 on aging Sun UltraSPARC / Solaris 2.6-8 hardware because the connecting C, Pro*C, Ada, or Forms 4.5 client binaries have no surviving source code or build toolchains.</w:t>
      </w:r>
    </w:p>
    <w:p>
      <w:pPr>
        <w:pStyle w:val="ListBullet"/>
      </w:pPr>
      <w:r>
        <w:t>Oracle Database 12c, 19c, and 23ai permanently removed server-side support for SQL*Net v2 (`TNS version 308`), `O3LOGON` challenge-response authentication, and `OCI7` (` OOPEN`/`OPARSE`/`OEXFET`) wire packets.</w:t>
      </w:r>
    </w:p>
    <w:p>
      <w:pPr>
        <w:pStyle w:val="ListBullet"/>
      </w:pPr>
      <w:r>
        <w:t>Competitors propose keeping an unpatched Oracle 9i or 11g 'bridge database' alive forever with `DB_LINK` synonyms, which still fails on `OCI7` cursor semantics, `ROWID` format changes (18-byte restricted vs. 10-byte extended), and `LONG RAW` buffers.</w:t>
      </w:r>
    </w:p>
    <w:p>
      <w:pPr>
        <w:pStyle w:val="Heading2"/>
      </w:pPr>
      <w:r>
        <w:rPr>
          <w:color w:val="A6631B"/>
        </w:rPr>
        <w:t>Section 2: Current Environment Baseline Inventory (Editable)</w:t>
      </w:r>
    </w:p>
    <w:tbl>
      <w:tblPr>
        <w:tblStyle w:val="TableGrid"/>
        <w:tblW w:type="auto" w:w="0"/>
        <w:tblLook w:firstColumn="1" w:firstRow="1" w:lastColumn="0" w:lastRow="0" w:noHBand="0" w:noVBand="1" w:val="04A0"/>
      </w:tblPr>
      <w:tblGrid>
        <w:gridCol w:w="3360"/>
        <w:gridCol w:w="3360"/>
        <w:gridCol w:w="3360"/>
      </w:tblGrid>
      <w:tr>
        <w:tc>
          <w:tcPr>
            <w:tcW w:type="dxa" w:w="3360"/>
            <w:shd w:val="clear" w:color="auto" w:fill="A6631B"/>
          </w:tcPr>
          <w:p>
            <w:r>
              <w:rPr>
                <w:b/>
                <w:color w:val="FFFFFF"/>
                <w:sz w:val="19"/>
              </w:rPr>
              <w:t>Inventory Dimension</w:t>
            </w:r>
          </w:p>
        </w:tc>
        <w:tc>
          <w:tcPr>
            <w:tcW w:type="dxa" w:w="3360"/>
            <w:shd w:val="clear" w:color="auto" w:fill="A6631B"/>
          </w:tcPr>
          <w:p>
            <w:r>
              <w:rPr>
                <w:b/>
                <w:color w:val="FFFFFF"/>
                <w:sz w:val="19"/>
              </w:rPr>
              <w:t>Current Baseline Footprint (Editable)</w:t>
            </w:r>
          </w:p>
        </w:tc>
        <w:tc>
          <w:tcPr>
            <w:tcW w:type="dxa" w:w="3360"/>
            <w:shd w:val="clear" w:color="auto" w:fill="A6631B"/>
          </w:tcPr>
          <w:p>
            <w:r>
              <w:rPr>
                <w:b/>
                <w:color w:val="FFFFFF"/>
                <w:sz w:val="19"/>
              </w:rPr>
              <w:t>Target Modernization SLA / Objective</w:t>
            </w:r>
          </w:p>
        </w:tc>
      </w:tr>
      <w:tr>
        <w:tc>
          <w:tcPr>
            <w:tcW w:type="dxa" w:w="3360"/>
          </w:tcPr>
          <w:p>
            <w:r>
              <w:rPr>
                <w:b/>
              </w:rPr>
              <w:t>Legacy Source Stack (Stack X)</w:t>
            </w:r>
          </w:p>
        </w:tc>
        <w:tc>
          <w:tcPr>
            <w:tcW w:type="dxa" w:w="3360"/>
          </w:tcPr>
          <w:p>
            <w:r>
              <w:t>Oracle7 (7.1.3 / 7.3.4) &amp; Oracle8i/9i on Solaris SPARC / HP-UX (SQL*Net V2 / TNS)</w:t>
            </w:r>
          </w:p>
        </w:tc>
        <w:tc>
          <w:tcPr>
            <w:tcW w:type="dxa" w:w="3360"/>
          </w:tcPr>
          <w:p>
            <w:r>
              <w:t>Full retirement / modernization</w:t>
            </w:r>
          </w:p>
        </w:tc>
      </w:tr>
      <w:tr>
        <w:tc>
          <w:tcPr>
            <w:tcW w:type="dxa" w:w="3360"/>
          </w:tcPr>
          <w:p>
            <w:r>
              <w:rPr>
                <w:b/>
              </w:rPr>
              <w:t>Target Architecture (Stack Y)</w:t>
            </w:r>
          </w:p>
        </w:tc>
        <w:tc>
          <w:tcPr>
            <w:tcW w:type="dxa" w:w="3360"/>
          </w:tcPr>
          <w:p>
            <w:r>
              <w:t>Oracle Database 23ai / 26ai on Linux / OCI via Wire-Level Protocol Gateway</w:t>
            </w:r>
          </w:p>
        </w:tc>
        <w:tc>
          <w:tcPr>
            <w:tcW w:type="dxa" w:w="3360"/>
          </w:tcPr>
          <w:p>
            <w:r>
              <w:t>Production HA/DR &amp; security governance</w:t>
            </w:r>
          </w:p>
        </w:tc>
      </w:tr>
      <w:tr>
        <w:tc>
          <w:tcPr>
            <w:tcW w:type="dxa" w:w="3360"/>
          </w:tcPr>
          <w:p>
            <w:r>
              <w:rPr>
                <w:b/>
              </w:rPr>
              <w:t>Legacy Database Size (GB)</w:t>
            </w:r>
          </w:p>
        </w:tc>
        <w:tc>
          <w:tcPr>
            <w:tcW w:type="dxa" w:w="3360"/>
          </w:tcPr>
          <w:p>
            <w:r>
              <w:t>[Insert Count, e.g., 650 GB]</w:t>
            </w:r>
          </w:p>
        </w:tc>
        <w:tc>
          <w:tcPr>
            <w:tcW w:type="dxa" w:w="3360"/>
          </w:tcPr>
          <w:p>
            <w:r>
              <w:t>100% functional parity &amp; optimization</w:t>
            </w:r>
          </w:p>
        </w:tc>
      </w:tr>
      <w:tr>
        <w:tc>
          <w:tcPr>
            <w:tcW w:type="dxa" w:w="3360"/>
          </w:tcPr>
          <w:p>
            <w:r>
              <w:rPr>
                <w:b/>
              </w:rPr>
              <w:t>PL/SQL Packages &amp; Legacy Client Apps</w:t>
            </w:r>
          </w:p>
        </w:tc>
        <w:tc>
          <w:tcPr>
            <w:tcW w:type="dxa" w:w="3360"/>
          </w:tcPr>
          <w:p>
            <w:r>
              <w:t>[Insert Count, e.g., 260 objects]</w:t>
            </w:r>
          </w:p>
        </w:tc>
        <w:tc>
          <w:tcPr>
            <w:tcW w:type="dxa" w:w="3360"/>
          </w:tcPr>
          <w:p>
            <w:r>
              <w:t>Automated AST &amp; schema uplift</w:t>
            </w:r>
          </w:p>
        </w:tc>
      </w:tr>
      <w:tr>
        <w:tc>
          <w:tcPr>
            <w:tcW w:type="dxa" w:w="3360"/>
          </w:tcPr>
          <w:p>
            <w:r>
              <w:rPr>
                <w:b/>
              </w:rPr>
              <w:t>Target Cutover Downtime Window</w:t>
            </w:r>
          </w:p>
        </w:tc>
        <w:tc>
          <w:tcPr>
            <w:tcW w:type="dxa" w:w="3360"/>
          </w:tcPr>
          <w:p>
            <w:r>
              <w:t>[e.g., &lt; 15 Minutes / Near-Zero Downtime]</w:t>
            </w:r>
          </w:p>
        </w:tc>
        <w:tc>
          <w:tcPr>
            <w:tcW w:type="dxa" w:w="3360"/>
          </w:tcPr>
          <w:p>
            <w:r>
              <w:t>Rehearsed parallel run + rollback plan</w:t>
            </w:r>
          </w:p>
        </w:tc>
      </w:tr>
      <w:tr>
        <w:tc>
          <w:tcPr>
            <w:tcW w:type="dxa" w:w="3360"/>
          </w:tcPr>
          <w:p>
            <w:r>
              <w:rPr>
                <w:b/>
              </w:rPr>
              <w:t>Security, Compliance &amp; Identity</w:t>
            </w:r>
          </w:p>
        </w:tc>
        <w:tc>
          <w:tcPr>
            <w:tcW w:type="dxa" w:w="3360"/>
          </w:tcPr>
          <w:p>
            <w:r>
              <w:t>[e.g., SSO/MFA via Entra ID / Okta, Row-Level VPD]</w:t>
            </w:r>
          </w:p>
        </w:tc>
        <w:tc>
          <w:tcPr>
            <w:tcW w:type="dxa" w:w="3360"/>
          </w:tcPr>
          <w:p>
            <w:r>
              <w:t>Zero critical/high CVEs at Go-Live</w:t>
            </w:r>
          </w:p>
        </w:tc>
      </w:tr>
    </w:tbl>
    <w:p>
      <w:pPr>
        <w:pStyle w:val="Heading2"/>
      </w:pPr>
      <w:r>
        <w:rPr>
          <w:color w:val="A6631B"/>
        </w:rPr>
        <w:t>Section 3: Mandatory Technical Scope of Work &amp; Conversion Matrix</w:t>
      </w:r>
    </w:p>
    <w:p>
      <w:pPr>
        <w:pStyle w:val="ListNumber"/>
      </w:pPr>
      <w:r>
        <w:rPr>
          <w:b/>
        </w:rPr>
        <w:t xml:space="preserve">[REQ-ARCH-01] </w:t>
      </w:r>
      <w:r>
        <w:t>Linux SQL*Net v2 / TTC Wire-Protocol Translator (`sqlnet7-gateway`): A stateless, memory-safe Linux daemon listens on port 1521, accepts authentic `TNS 308 (SQL*Net 2.3.4)` handshakes, emulates `O3LOGON` authentication, and translates `OCI7` TTC calls into modern Oracle 23ai `OCI8` wire operations in real time.</w:t>
      </w:r>
    </w:p>
    <w:p>
      <w:pPr>
        <w:pStyle w:val="ListNumber"/>
      </w:pPr>
      <w:r>
        <w:rPr>
          <w:b/>
        </w:rPr>
        <w:t xml:space="preserve">[REQ-ARCH-02] </w:t>
      </w:r>
      <w:r>
        <w:t>Automatic ROWID &amp; Datatype Shimming: The gateway intercepts legacy 18-character `BBBBBBBB.RRRR.FFFF` Oracle7 restricted ROWIDs and maps them bi-directionally to Oracle 23ai extended base64 ROWIDs so legacy `WHERE ROWID = :1` updates never fail.</w:t>
      </w:r>
    </w:p>
    <w:p>
      <w:pPr>
        <w:pStyle w:val="ListNumber"/>
      </w:pPr>
      <w:r>
        <w:rPr>
          <w:b/>
        </w:rPr>
        <w:t xml:space="preserve">[REQ-ARCH-03] </w:t>
      </w:r>
      <w:r>
        <w:t>Direct Schema &amp; Character Set Uplift (`US7ASCII` / `WE8ISO8859P1` to `AL32UTF8`): We extract Oracle7 `.dmp` exports, sanitize legacy dictionary metadata, convert `LONG`/`LONG RAW` columns, and load directly into a Pluggable Database (PDB) on Oracle 23ai.</w:t>
      </w:r>
    </w:p>
    <w:p>
      <w:pPr>
        <w:pStyle w:val="ListNumber"/>
      </w:pPr>
      <w:r>
        <w:rPr>
          <w:b/>
        </w:rPr>
        <w:t xml:space="preserve">[REQ-ARCH-04] </w:t>
      </w:r>
      <w:r>
        <w:t>Unlock Modern Analytics &amp; APEX on Live Legacy Data: Once the data resides in Oracle 23ai, you can immediately build Oracle APEX 24.2 dashboards, ORDS REST APIs, and AI Vector Search on the exact same tables your legacy 1998 binaries are updating.</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B2214"/>
          </w:tcPr>
          <w:p>
            <w:r>
              <w:rPr>
                <w:b/>
                <w:color w:val="FFFFFF"/>
                <w:sz w:val="19"/>
              </w:rPr>
              <w:t>Req ID</w:t>
            </w:r>
          </w:p>
        </w:tc>
        <w:tc>
          <w:tcPr>
            <w:tcW w:type="dxa" w:w="2520"/>
            <w:shd w:val="clear" w:color="auto" w:fill="2B2214"/>
          </w:tcPr>
          <w:p>
            <w:r>
              <w:rPr>
                <w:b/>
                <w:color w:val="FFFFFF"/>
                <w:sz w:val="19"/>
              </w:rPr>
              <w:t>Legacy Artifact / Baseline Workload</w:t>
            </w:r>
          </w:p>
        </w:tc>
        <w:tc>
          <w:tcPr>
            <w:tcW w:type="dxa" w:w="2520"/>
            <w:shd w:val="clear" w:color="auto" w:fill="2B2214"/>
          </w:tcPr>
          <w:p>
            <w:r>
              <w:rPr>
                <w:b/>
                <w:color w:val="FFFFFF"/>
                <w:sz w:val="19"/>
              </w:rPr>
              <w:t>Required Target Architecture</w:t>
            </w:r>
          </w:p>
        </w:tc>
        <w:tc>
          <w:tcPr>
            <w:tcW w:type="dxa" w:w="2520"/>
            <w:shd w:val="clear" w:color="auto" w:fill="2B2214"/>
          </w:tcPr>
          <w:p>
            <w:r>
              <w:rPr>
                <w:b/>
                <w:color w:val="FFFFFF"/>
                <w:sz w:val="19"/>
              </w:rPr>
              <w:t>Engineering Method &amp; Acceptance Gate</w:t>
            </w:r>
          </w:p>
        </w:tc>
      </w:tr>
      <w:tr>
        <w:tc>
          <w:tcPr>
            <w:tcW w:type="dxa" w:w="2520"/>
          </w:tcPr>
          <w:p>
            <w:r>
              <w:rPr>
                <w:b/>
              </w:rPr>
              <w:t>REQ-01</w:t>
            </w:r>
          </w:p>
        </w:tc>
        <w:tc>
          <w:tcPr>
            <w:tcW w:type="dxa" w:w="2520"/>
          </w:tcPr>
          <w:p>
            <w:r>
              <w:t>SQL*Net 2.0-2.3 (`TNS Version 305-308`) Connect Packet</w:t>
            </w:r>
          </w:p>
        </w:tc>
        <w:tc>
          <w:tcPr>
            <w:tcW w:type="dxa" w:w="2520"/>
          </w:tcPr>
          <w:p>
            <w:r>
              <w:t>Oracle Net Services 23ai (`TNS Version 318+`) + TLS 1.3</w:t>
            </w:r>
          </w:p>
        </w:tc>
        <w:tc>
          <w:tcPr>
            <w:tcW w:type="dxa" w:w="2520"/>
          </w:tcPr>
          <w:p>
            <w:r>
              <w:t>Wire-Level TNS Header &amp; Capabilities Negotiation Proxy</w:t>
            </w:r>
          </w:p>
        </w:tc>
      </w:tr>
      <w:tr>
        <w:tc>
          <w:tcPr>
            <w:tcW w:type="dxa" w:w="2520"/>
          </w:tcPr>
          <w:p>
            <w:r>
              <w:rPr>
                <w:b/>
              </w:rPr>
              <w:t>REQ-02</w:t>
            </w:r>
          </w:p>
        </w:tc>
        <w:tc>
          <w:tcPr>
            <w:tcW w:type="dxa" w:w="2520"/>
          </w:tcPr>
          <w:p>
            <w:r>
              <w:t>Oracle7 `O3LOGON` DES Challenge-Response Auth</w:t>
            </w:r>
          </w:p>
        </w:tc>
        <w:tc>
          <w:tcPr>
            <w:tcW w:type="dxa" w:w="2520"/>
          </w:tcPr>
          <w:p>
            <w:r>
              <w:t>Oracle 23ai PBKDF2 / SHA-512 Session Pool</w:t>
            </w:r>
          </w:p>
        </w:tc>
        <w:tc>
          <w:tcPr>
            <w:tcW w:type="dxa" w:w="2520"/>
          </w:tcPr>
          <w:p>
            <w:r>
              <w:t>Gateway Credential Vault &amp; Proxy Session Multiplexing</w:t>
            </w:r>
          </w:p>
        </w:tc>
      </w:tr>
      <w:tr>
        <w:tc>
          <w:tcPr>
            <w:tcW w:type="dxa" w:w="2520"/>
          </w:tcPr>
          <w:p>
            <w:r>
              <w:rPr>
                <w:b/>
              </w:rPr>
              <w:t>REQ-03</w:t>
            </w:r>
          </w:p>
        </w:tc>
        <w:tc>
          <w:tcPr>
            <w:tcW w:type="dxa" w:w="2520"/>
          </w:tcPr>
          <w:p>
            <w:r>
              <w:t>`OCI7` TTC Opcodes (`OOPEN`, `OPARSE`, `OEXFET`)</w:t>
            </w:r>
          </w:p>
        </w:tc>
        <w:tc>
          <w:tcPr>
            <w:tcW w:type="dxa" w:w="2520"/>
          </w:tcPr>
          <w:p>
            <w:r>
              <w:t>Modern `OALL8` Bundled Execute/Fetch Wire Calls</w:t>
            </w:r>
          </w:p>
        </w:tc>
        <w:tc>
          <w:tcPr>
            <w:tcW w:type="dxa" w:w="2520"/>
          </w:tcPr>
          <w:p>
            <w:r>
              <w:t>Stateful TTC Packet AST Translation</w:t>
            </w:r>
          </w:p>
        </w:tc>
      </w:tr>
      <w:tr>
        <w:tc>
          <w:tcPr>
            <w:tcW w:type="dxa" w:w="2520"/>
          </w:tcPr>
          <w:p>
            <w:r>
              <w:rPr>
                <w:b/>
              </w:rPr>
              <w:t>REQ-04</w:t>
            </w:r>
          </w:p>
        </w:tc>
        <w:tc>
          <w:tcPr>
            <w:tcW w:type="dxa" w:w="2520"/>
          </w:tcPr>
          <w:p>
            <w:r>
              <w:t>Oracle7 Restricted `ROWID` (`00001F2A.0001.0004`)</w:t>
            </w:r>
          </w:p>
        </w:tc>
        <w:tc>
          <w:tcPr>
            <w:tcW w:type="dxa" w:w="2520"/>
          </w:tcPr>
          <w:p>
            <w:r>
              <w:t>Oracle 23ai Extended `ROWID` (`AAAR3sAAEAAAACXAAA`)</w:t>
            </w:r>
          </w:p>
        </w:tc>
        <w:tc>
          <w:tcPr>
            <w:tcW w:type="dxa" w:w="2520"/>
          </w:tcPr>
          <w:p>
            <w:r>
              <w:t>`DBMS_ROWID` Bi-Directional Wire Interceptor</w:t>
            </w:r>
          </w:p>
        </w:tc>
      </w:tr>
      <w:tr>
        <w:tc>
          <w:tcPr>
            <w:tcW w:type="dxa" w:w="2520"/>
          </w:tcPr>
          <w:p>
            <w:r>
              <w:rPr>
                <w:b/>
              </w:rPr>
              <w:t>REQ-05</w:t>
            </w:r>
          </w:p>
        </w:tc>
        <w:tc>
          <w:tcPr>
            <w:tcW w:type="dxa" w:w="2520"/>
          </w:tcPr>
          <w:p>
            <w:r>
              <w:t>Solaris SPARC Big-Endian Physical Datafiles</w:t>
            </w:r>
          </w:p>
        </w:tc>
        <w:tc>
          <w:tcPr>
            <w:tcW w:type="dxa" w:w="2520"/>
          </w:tcPr>
          <w:p>
            <w:r>
              <w:t>Oracle 23ai Linux x86_64 / ARM64 PDB</w:t>
            </w:r>
          </w:p>
        </w:tc>
        <w:tc>
          <w:tcPr>
            <w:tcW w:type="dxa" w:w="2520"/>
          </w:tcPr>
          <w:p>
            <w:r>
              <w:t>Sanitized Logical Export/Import + Checksum Validation</w:t>
            </w:r>
          </w:p>
        </w:tc>
      </w:tr>
    </w:tbl>
    <w:p>
      <w:pPr>
        <w:pStyle w:val="Heading2"/>
      </w:pPr>
      <w:r>
        <w:rPr>
          <w:color w:val="A6631B"/>
        </w:rPr>
        <w:t>Section 4: Vendor Technical Q&amp;A Questionnaire &amp; Evaluation Rubric</w:t>
      </w:r>
    </w:p>
    <w:p>
      <w:r>
        <w:t>Bidders must provide direct written responses to each question below. Evaluation committee members can grade vendor responses (0 to 10 points) using the Reference Evaluation Benchmark provided under each question.</w:t>
      </w:r>
    </w:p>
    <w:p>
      <w:r>
        <w:rPr>
          <w:b/>
        </w:rPr>
        <w:t>Vendor Question 1: Why doesn't a standard Oracle 11g database link bridge work for all Oracle 7.3.4 clients?   [Evaluator Score: ___ / 10]</w:t>
      </w:r>
    </w:p>
    <w:p>
      <w:pPr>
        <w:pStyle w:val="ListBullet"/>
      </w:pPr>
      <w:r>
        <w:rPr>
          <w:b/>
        </w:rPr>
        <w:t xml:space="preserve">Reference Evaluation Benchmark: </w:t>
      </w:r>
      <w:r>
        <w:t>An 11g bridge still requires maintaining an unsupported, unpatched 11.2.0.4 server, breaks when `OCI7` clients inspect `ROWID` strings or `V$SESSION` views, and doubles network latency across two database hops.</w:t>
      </w:r>
    </w:p>
    <w:p>
      <w:pPr>
        <w:pStyle w:val="ListBullet"/>
      </w:pPr>
      <w:r>
        <w:rPr>
          <w:b/>
        </w:rPr>
        <w:t xml:space="preserve">Vendor Written Response: </w:t>
      </w:r>
      <w:r>
        <w:t>[Bidder to insert concrete technical architecture and verifiable production proof here]</w:t>
      </w:r>
    </w:p>
    <w:p>
      <w:r>
        <w:rPr>
          <w:b/>
        </w:rPr>
        <w:t>Vendor Question 2: Do we need the C / Pro*C / Forms 4.5 source code of our legacy client applications?   [Evaluator Score: ___ / 10]</w:t>
      </w:r>
    </w:p>
    <w:p>
      <w:pPr>
        <w:pStyle w:val="ListBullet"/>
      </w:pPr>
      <w:r>
        <w:rPr>
          <w:b/>
        </w:rPr>
        <w:t xml:space="preserve">Reference Evaluation Benchmark: </w:t>
      </w:r>
      <w:r>
        <w:t>No. You only point the legacy client's `tnsnames.ora` IP address to our Linux protocol gateway. The client binary believes it is still talking to an Oracle 7.3.4 instance on Solaris.</w:t>
      </w:r>
    </w:p>
    <w:p>
      <w:pPr>
        <w:pStyle w:val="ListBullet"/>
      </w:pPr>
      <w:r>
        <w:rPr>
          <w:b/>
        </w:rPr>
        <w:t xml:space="preserve">Vendor Written Response: </w:t>
      </w:r>
      <w:r>
        <w:t>[Bidder to insert concrete technical architecture and verifiable production proof here]</w:t>
      </w:r>
    </w:p>
    <w:p>
      <w:r>
        <w:rPr>
          <w:b/>
        </w:rPr>
        <w:t>Vendor Question 3: What is included in the downloadable PDF Solution Brief?   [Evaluator Score: ___ / 10]</w:t>
      </w:r>
    </w:p>
    <w:p>
      <w:pPr>
        <w:pStyle w:val="ListBullet"/>
      </w:pPr>
      <w:r>
        <w:rPr>
          <w:b/>
        </w:rPr>
        <w:t xml:space="preserve">Reference Evaluation Benchmark: </w:t>
      </w:r>
      <w:r>
        <w:t>The PDF Solution Brief contains the wire-level packet architecture diagram (`TNS 0x0134` to `OALL8`), the `ROWID` and `O3LOGON` translation specification, and our zero-downtime cutover runbook.</w:t>
      </w:r>
    </w:p>
    <w:p>
      <w:pPr>
        <w:pStyle w:val="ListBullet"/>
      </w:pPr>
      <w:r>
        <w:rPr>
          <w:b/>
        </w:rPr>
        <w:t xml:space="preserve">Vendor Written Response: </w:t>
      </w:r>
      <w:r>
        <w:t>[Bidder to insert concrete technical architecture and verifiable production proof here]</w:t>
      </w:r>
    </w:p>
    <w:p>
      <w:r>
        <w:rPr>
          <w:b/>
        </w:rPr>
        <w:t>Vendor Question 4: How do you prevent report and query fan-out bloat, and how do you guarantee 100% customer code ownership?   [Evaluator Score: ___ / 10]</w:t>
      </w:r>
    </w:p>
    <w:p>
      <w:pPr>
        <w:pStyle w:val="ListBullet"/>
      </w:pPr>
      <w:r>
        <w:rPr>
          <w:b/>
        </w:rPr>
        <w:t xml:space="preserve">Reference Evaluation Benchmark: </w:t>
      </w:r>
      <w:r>
        <w:t>Vendor must demonstrate AST SQL clustering (collapsing 75%-90% of cloned queries into core database views with runtime predicates) and confirm 100% customer ownership of all DDL, PL/SQL, APEX, and cloud source code with zero proprietary runtime lock-in.</w:t>
      </w:r>
    </w:p>
    <w:p>
      <w:pPr>
        <w:pStyle w:val="ListBullet"/>
      </w:pPr>
      <w:r>
        <w:rPr>
          <w:b/>
        </w:rPr>
        <w:t xml:space="preserve">Vendor Written Response: </w:t>
      </w:r>
      <w:r>
        <w:t>[Bidder to insert concrete technical architecture and verifiable production proof here]</w:t>
      </w:r>
    </w:p>
    <w:p>
      <w:r>
        <w:rPr>
          <w:b/>
        </w:rPr>
        <w:t>Vendor Question 5: Describe your automated regression testing, data parity verification, and zero-downtime cutover methodology.   [Evaluator Score: ___ / 10]</w:t>
      </w:r>
    </w:p>
    <w:p>
      <w:pPr>
        <w:pStyle w:val="ListBullet"/>
      </w:pPr>
      <w:r>
        <w:rPr>
          <w:b/>
        </w:rPr>
        <w:t xml:space="preserve">Reference Evaluation Benchmark: </w:t>
      </w:r>
      <w:r>
        <w:t>Vendor must provide automated row-count and cryptographic hash reconciliation, automated unit/UI test suites (utPLSQL, Playwright), and a rehearsed cutover runbook with sub-minute rollback capability.</w:t>
      </w:r>
    </w:p>
    <w:p>
      <w:pPr>
        <w:pStyle w:val="ListBullet"/>
      </w:pPr>
      <w:r>
        <w:rPr>
          <w:b/>
        </w:rPr>
        <w:t xml:space="preserve">Vendor Written Response: </w:t>
      </w:r>
      <w:r>
        <w:t>[Bidder to insert concrete technical architecture and verifiable production proof here]</w:t>
      </w:r>
    </w:p>
    <w:p>
      <w:pPr>
        <w:pStyle w:val="Heading2"/>
      </w:pPr>
      <w:r>
        <w:rPr>
          <w:color w:val="A6631B"/>
        </w:rPr>
        <w:t>Section 5: Commercial Milestone Pricing &amp; Evaluation Scorecard (Editable)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shd w:val="clear" w:color="auto" w:fill="2B2214"/>
          </w:tcPr>
          <w:p>
            <w:r>
              <w:rPr>
                <w:b/>
                <w:color w:val="FFFFFF"/>
                <w:sz w:val="19"/>
              </w:rPr>
              <w:t>Milestone / Phase</w:t>
            </w:r>
          </w:p>
        </w:tc>
        <w:tc>
          <w:tcPr>
            <w:tcW w:type="dxa" w:w="2520"/>
            <w:shd w:val="clear" w:color="auto" w:fill="2B2214"/>
          </w:tcPr>
          <w:p>
            <w:r>
              <w:rPr>
                <w:b/>
                <w:color w:val="FFFFFF"/>
                <w:sz w:val="19"/>
              </w:rPr>
              <w:t>Deliverable &amp; Acceptance Gate</w:t>
            </w:r>
          </w:p>
        </w:tc>
        <w:tc>
          <w:tcPr>
            <w:tcW w:type="dxa" w:w="2520"/>
            <w:shd w:val="clear" w:color="auto" w:fill="2B2214"/>
          </w:tcPr>
          <w:p>
            <w:r>
              <w:rPr>
                <w:b/>
                <w:color w:val="FFFFFF"/>
                <w:sz w:val="19"/>
              </w:rPr>
              <w:t>Fixed Fee (USD)</w:t>
            </w:r>
          </w:p>
        </w:tc>
        <w:tc>
          <w:tcPr>
            <w:tcW w:type="dxa" w:w="2520"/>
            <w:shd w:val="clear" w:color="auto" w:fill="2B2214"/>
          </w:tcPr>
          <w:p>
            <w:r>
              <w:rPr>
                <w:b/>
                <w:color w:val="FFFFFF"/>
                <w:sz w:val="19"/>
              </w:rPr>
              <w:t>Estimated Weeks</w:t>
            </w:r>
          </w:p>
        </w:tc>
      </w:tr>
      <w:tr>
        <w:tc>
          <w:tcPr>
            <w:tcW w:type="dxa" w:w="2520"/>
          </w:tcPr>
          <w:p>
            <w:r>
              <w:rPr>
                <w:b/>
              </w:rPr>
              <w:t>Phase 0: Discovery &amp; AST X-Ray</w:t>
            </w:r>
          </w:p>
        </w:tc>
        <w:tc>
          <w:tcPr>
            <w:tcW w:type="dxa" w:w="2520"/>
          </w:tcPr>
          <w:p>
            <w:r>
              <w:t>Verified inventory, dead-code manifest, core SQL fan-out map &amp; blueprint</w:t>
            </w:r>
          </w:p>
        </w:tc>
        <w:tc>
          <w:tcPr>
            <w:tcW w:type="dxa" w:w="2520"/>
          </w:tcPr>
          <w:p>
            <w:r>
              <w:t>$ [Insert]</w:t>
            </w:r>
          </w:p>
        </w:tc>
        <w:tc>
          <w:tcPr>
            <w:tcW w:type="dxa" w:w="2520"/>
          </w:tcPr>
          <w:p>
            <w:r>
              <w:t>[2 - 3 Weeks]</w:t>
            </w:r>
          </w:p>
        </w:tc>
      </w:tr>
      <w:tr>
        <w:tc>
          <w:tcPr>
            <w:tcW w:type="dxa" w:w="2520"/>
          </w:tcPr>
          <w:p>
            <w:r>
              <w:rPr>
                <w:b/>
              </w:rPr>
              <w:t>Phase 1: Core Schema &amp; Logic Uplift</w:t>
            </w:r>
          </w:p>
        </w:tc>
        <w:tc>
          <w:tcPr>
            <w:tcW w:type="dxa" w:w="2520"/>
          </w:tcPr>
          <w:p>
            <w:r>
              <w:t>Provisioned target stack, schema migration &amp; automated logic conversion</w:t>
            </w:r>
          </w:p>
        </w:tc>
        <w:tc>
          <w:tcPr>
            <w:tcW w:type="dxa" w:w="2520"/>
          </w:tcPr>
          <w:p>
            <w:r>
              <w:t>$ [Insert]</w:t>
            </w:r>
          </w:p>
        </w:tc>
        <w:tc>
          <w:tcPr>
            <w:tcW w:type="dxa" w:w="2520"/>
          </w:tcPr>
          <w:p>
            <w:r>
              <w:t>[4 - 8 Weeks]</w:t>
            </w:r>
          </w:p>
        </w:tc>
      </w:tr>
      <w:tr>
        <w:tc>
          <w:tcPr>
            <w:tcW w:type="dxa" w:w="2520"/>
          </w:tcPr>
          <w:p>
            <w:r>
              <w:rPr>
                <w:b/>
              </w:rPr>
              <w:t>Phase 2: UI, Reports &amp; UAT</w:t>
            </w:r>
          </w:p>
        </w:tc>
        <w:tc>
          <w:tcPr>
            <w:tcW w:type="dxa" w:w="2520"/>
          </w:tcPr>
          <w:p>
            <w:r>
              <w:t>Modernized portals/screens, runtime reports, AOP templates &amp; UAT sign-off</w:t>
            </w:r>
          </w:p>
        </w:tc>
        <w:tc>
          <w:tcPr>
            <w:tcW w:type="dxa" w:w="2520"/>
          </w:tcPr>
          <w:p>
            <w:r>
              <w:t>$ [Insert]</w:t>
            </w:r>
          </w:p>
        </w:tc>
        <w:tc>
          <w:tcPr>
            <w:tcW w:type="dxa" w:w="2520"/>
          </w:tcPr>
          <w:p>
            <w:r>
              <w:t>[3 - 6 Weeks]</w:t>
            </w:r>
          </w:p>
        </w:tc>
      </w:tr>
      <w:tr>
        <w:tc>
          <w:tcPr>
            <w:tcW w:type="dxa" w:w="2520"/>
          </w:tcPr>
          <w:p>
            <w:r>
              <w:rPr>
                <w:b/>
              </w:rPr>
              <w:t>Phase 3: Cutover &amp; Hypercare</w:t>
            </w:r>
          </w:p>
        </w:tc>
        <w:tc>
          <w:tcPr>
            <w:tcW w:type="dxa" w:w="2520"/>
          </w:tcPr>
          <w:p>
            <w:r>
              <w:t>Rehearsed cutover, reconciliation sign-off &amp; 30-day production hypercare</w:t>
            </w:r>
          </w:p>
        </w:tc>
        <w:tc>
          <w:tcPr>
            <w:tcW w:type="dxa" w:w="2520"/>
          </w:tcPr>
          <w:p>
            <w:r>
              <w:t>$ [Insert]</w:t>
            </w:r>
          </w:p>
        </w:tc>
        <w:tc>
          <w:tcPr>
            <w:tcW w:type="dxa" w:w="2520"/>
          </w:tcPr>
          <w:p>
            <w:r>
              <w:t>[2 - 3 Weeks]</w:t>
            </w:r>
          </w:p>
        </w:tc>
      </w:tr>
      <w:tr>
        <w:tc>
          <w:tcPr>
            <w:tcW w:type="dxa" w:w="2520"/>
          </w:tcPr>
          <w:p>
            <w:r>
              <w:rPr>
                <w:b/>
              </w:rPr>
              <w:t>Optional: Annual Managed Support</w:t>
            </w:r>
          </w:p>
        </w:tc>
        <w:tc>
          <w:tcPr>
            <w:tcW w:type="dxa" w:w="2520"/>
          </w:tcPr>
          <w:p>
            <w:r>
              <w:t>24x7 monitoring, patching, DBA tuning &amp; quarterly enhancements</w:t>
            </w:r>
          </w:p>
        </w:tc>
        <w:tc>
          <w:tcPr>
            <w:tcW w:type="dxa" w:w="2520"/>
          </w:tcPr>
          <w:p>
            <w:r>
              <w:t>$ [Insert/yr]</w:t>
            </w:r>
          </w:p>
        </w:tc>
        <w:tc>
          <w:tcPr>
            <w:tcW w:type="dxa" w:w="2520"/>
          </w:tcPr>
          <w:p>
            <w:r>
              <w:t>[12 Months]</w:t>
            </w:r>
          </w:p>
        </w:tc>
      </w:tr>
    </w:tbl>
    <w:sectPr w:rsidR="00FC693F" w:rsidRPr="0006063C" w:rsidSect="00034616">
      <w:headerReference w:type="default" r:id="rId9"/>
      <w:footerReference w:type="default" r:id="rId10"/>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This site is designed by Viscosity.AI  |  Editable Microsoft Word (.docx) RFP Template (VNA-RFP-008)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MODIFIABLE RFP TEMPLATE &amp; VENDOR Q&amp;A  |  VNA-RFP-008  |  https://oracle-7-to-23ai-migration.web.app/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7"/>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